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Дерматовенерология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Дерматовенерология | Записей: 2</w:t>
      </w:r>
    </w:p>
    <w:p>
      <w:r>
        <w:br w:type="page"/>
      </w:r>
    </w:p>
    <w:p>
      <w:pPr>
        <w:pStyle w:val="Heading1"/>
      </w:pPr>
      <w:r>
        <w:t>Дерматовенерология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62 лет обратился на консультацию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высыпания на коже туловища.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2 недель, когда впервые высыпания появились на коже туловища. Высыпания появились через некоторое время после простуды, по поводу которой принимал противовирусные препараты.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и хронические заболевания: ОРВИ. Гипертоническая болезнь. +</w:t>
        <w:br/>
        <w:t>* Не курит, алкоголем не злоупотребляет. +</w:t>
        <w:br/>
        <w:t>* Хирургические вмешательства: аппендэктомия. +</w:t>
        <w:br/>
        <w:t>* Аллергоанамнез: не отягощен. +</w:t>
        <w:br/>
        <w:t>* Наследственность: у матери пузырчатка. +</w:t>
        <w:br/>
        <w:t>* Семейное положение: не женат, периодические случайные половые связи. Последний половой контакт примерно 3 месяца назад.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Поражение кожи носит распространенный характер. Высыпания располагаются на коже туловища, преимущественно на передней поверхности груди, представлены множественными медно-красными папулами округлой формы, имеют четкие очертания, местами сгруппированные. На поверхности некоторых папул отмечаются корочки, а также единичные пузырьки и мелкие эрозии. Субъективные ощущения отсутствуют. +</w:t>
        <w:br/>
        <w:t>Видимые слизистые оболочки нормальной окраски, высыпаний не выявлено. +</w:t>
        <w:br/>
        <w:t>Кожные покровы половых органов нормальной окраски, высыпаний не выявлено. +</w:t>
        <w:br/>
        <w:t>Слизистая оболочка наружного отверстия уретры не измененная, выделения из уретры отсутствуют. Регионарные лимфатические узлы не увеличены, безболезненны, не спаяны с окружающими тканями.</w:t>
      </w:r>
    </w:p>
    <w:p>
      <w:r>
        <w:drawing>
          <wp:inline xmlns:a="http://schemas.openxmlformats.org/drawingml/2006/main" xmlns:pic="http://schemas.openxmlformats.org/drawingml/2006/picture">
            <wp:extent cx="5303520" cy="445050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38c41ace353e3bf8d13f049c6bd87b05e10bfaa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45050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Методом обследования, необходимым для подтверждения диагноза,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общего IgE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исследование крови для выявления IgG-аутоантител методом непрямой иммунофлюоресценции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реакция пассивной гемагглютинации для выявления антител к возбудителю сифилиса (_Treponema pallidum_)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крови для выявления антител к возбудителю ветряной оспы (_Varicella Zoster Virus_) методом ИФА (IgG и IgM)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реакция пассивной гемагглютинации для выявления антител к возбудителю сифилиса (_Treponema pallidum_)</w:t>
      </w:r>
    </w:p>
    <w:p>
      <w:pPr>
        <w:ind w:left="504"/>
      </w:pPr>
      <w:r>
        <w:rPr>
          <w:b w:val="0"/>
          <w:i/>
        </w:rPr>
        <w:t>Рекомендуется использовать комплекс нетрепонемного (РМП, РПР, VDRL и другие аналоги) в количественном варианте постановки и трепонемного (РПГА, ИФА IgM{plus}IgG, ИБ, ИХЛ, ИХГ) тестов для лабораторной диагностики ранних манифестных форм приобретенной сифилитической инфекции.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Анамнестическим данным, позволяющим предположить диагноз,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появление высыпаний через 3 месяца после полового контакта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прием противовирусных лекарственных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связь заболевания с острой респираторной вирусной инфекцией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наследственная предрасположенность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появление высыпаний через 3 месяца после полового контакта</w:t>
      </w:r>
    </w:p>
    <w:p>
      <w:pPr>
        <w:ind w:left="504"/>
      </w:pPr>
      <w:r>
        <w:rPr>
          <w:b w:val="0"/>
          <w:i/>
        </w:rPr>
        <w:t>Классический вторичный период сифилиса наступает в среднем через 2-3 месяца после инфицирования, обусловлен гематогенной диссеминацией инфекции на фоне развития инфекционного иммунитета и проявляется: высыпаниями на коже и/или слизистых оболочках.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Наиболее информативным клиническим признаком для постановки диагноза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папулы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эрозии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корки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пузырьки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папулы</w:t>
      </w:r>
    </w:p>
    <w:p>
      <w:pPr>
        <w:ind w:left="504"/>
      </w:pPr>
      <w:r>
        <w:rPr>
          <w:b w:val="0"/>
          <w:i/>
        </w:rPr>
        <w:t>При вторичном сифилисе везикулезный сифилид состоит из папул, на вершине которых образуется пузырек, его содержимое быстро ссыхается в корочку. Папулы могут группироваться, образуя бляшки медно-красного цвета размером с ноготь мизинца и больше; такой очаг имеет резкие границы, плотноэластическое основание, сгруппированные мелкие пузырьки на поверхности. После разрешения остается пигментированное пятно с мельчайшими рубчиками, которые постепенно сглаживаются. Субъективные ощущения отсутствуют.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Диагнозом, соответствующим данной клинической ситуации,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Ветряная оспа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Токсико-аллергический дерматит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Герпетиформная пузырчатка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Вторичный сифилис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Вторичный сифилис</w:t>
      </w:r>
    </w:p>
    <w:p>
      <w:pPr>
        <w:ind w:left="504"/>
      </w:pPr>
      <w:r>
        <w:rPr>
          <w:b w:val="0"/>
          <w:i/>
        </w:rPr>
        <w:t>При вторичном сифилисе везикулезный сифилид встречается крайне редко. Состоит из папул, на вершине которых образуется пузырек, его содержимое быстро ссыхается в корочку. Папулы могут группироваться, образуя бляшки медно-красного цвета размером с ноготь мизинца и больше; такой очаг имеет резкие границы, плотноэластическое основание, сгруппированные мелкие пузырьки на поверхности. После разрешения остается пигментированное пятно с мельчайшими рубчиками, которые постепенно сглаживаются. Субъективные ощущения отсутствуют.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Позитивные результаты нетрепонемного (РМП, РПР, VDRL и другие аналоги) в количественном варианте постановки и трепонемного (РПГА, ИФА IgM{plus}IgG, ИБ, ИХЛ, ИХГ) тестов при исследовании крови.</w:t>
        <w:br/>
        <w:br/>
      </w:r>
      <w:hyperlink r:id="rId18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Препаратом выбора для лечения больных вторичным сифилисом в амбулаторных условиях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карбинициллинадинатриевая соль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ампициллина натриевая соль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бензатина бензилпенициллин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оксациллина натриевая соль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бензатина бензилпенициллин</w:t>
      </w:r>
    </w:p>
    <w:p>
      <w:pPr>
        <w:ind w:left="504"/>
      </w:pPr>
      <w:r>
        <w:rPr>
          <w:b w:val="0"/>
          <w:i/>
        </w:rPr>
        <w:t>Для лечения сифилиса рекомендуется применять следующие лекарственные препараты:</w:t>
        <w:br/>
        <w:br/>
        <w:t>* Бензатина бензилпенициллин (дюрантный);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Разовая доза бензатина бензилпенициллин при лечении взрослых больных вторичным сифилисом составляет _____ млн. ЕД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2,4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7,2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4,8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2,4</w:t>
      </w:r>
    </w:p>
    <w:p>
      <w:pPr>
        <w:ind w:left="504"/>
      </w:pPr>
      <w:r>
        <w:rPr>
          <w:b w:val="0"/>
          <w:i/>
        </w:rPr>
        <w:t>Рекомендуется для специфической терапии взрослых больных вторичным сифилисом Бензатина бензилпенициллин по 2,4 млн. ЕД 1 раз в 5 дней внутримышечно, на курс 6 инъекций.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лечении взрослых больных вторичным сифилисом рекомендуется назначить _____ внутримышечных инъекций бензатина бензилпенициллин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Рекомендуется для специфической терапии взрослых больных вторичным сифилисом Бензатина бензилпенициллин по 2,4 млн. ЕД 1 раз в 5 дней внутримышечно, на курс 6 инъекций.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Препаратом выбора для лечения больных вторичным сифилисом в стационарных условиях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бензилпенициллина натриевая соль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тобрамицин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амикацин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ванкомицин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бензилпенициллина натриевая соль</w:t>
      </w:r>
    </w:p>
    <w:p>
      <w:pPr>
        <w:ind w:left="504"/>
      </w:pPr>
      <w:r>
        <w:rPr>
          <w:b w:val="0"/>
          <w:i/>
        </w:rPr>
        <w:t>Рекомендуется для лечения больных вторичным сифилисом в стационарных условиях назначение бензилпенициллина натриевой соли кристаллической.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Суточная доза бензилпенициллина натриевой соли при лечении взрослых больных вторичным сифилисом составляет +__+ млн. ЕД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Рекомендуется для специфической терапии взрослых больных вторичным сифилисом бензилпенициллина натриевая соль кристаллическая 1 млн. ЕД каждые 4 часа (6 раз в сутки) внутримышечно в течение 28 суток.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Продолжительность лечения бензилпенициллина натриевой солью при лечении взрослых больных вторичным сифилисом составляет +__+ суток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28</w:t>
      </w:r>
    </w:p>
    <w:p>
      <w:pPr>
        <w:ind w:left="504"/>
      </w:pPr>
      <w:r>
        <w:rPr>
          <w:b w:val="0"/>
          <w:i/>
        </w:rPr>
        <w:t>Рекомендуется для специфической терапии взрослых больных вторичным сифилисом бензилпенициллина натриевая соль кристаллическая 1 млн. ЕД каждые 4 часа (6 раз в сутки) внутримышечно в течение 28 суток.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Клинико-серологический контроль после окончания специфического лечения в течение первого года наблюдения осуществляют 1 раз в +__+ месяца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Рекомендуется клинико-серологический контроль (КСК) после окончания специфического лечения осуществлять 1 раз в 3 месяца в течение первого года наблюдения и 1 раз в 6 месяцев в последующие годы с постановкой нетрепонемных тестов.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Лицам, находившимся в половом или тесном бытовом контакте с больными ранними формами сифилиса, показано двукратное клинико-серологическое обследование, у которых с момента контакта прошло не более +___+ месяцев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Рекомендуется следующее ведение контактных лиц: лицам, находившимся в половом или тесном бытовом контакте с больными ранними формами сифилиса, у которых с момента контакта прошло не более 2 месяцев, показано превентивное лечение. Лицам, у которых с момента контакта с больным ранним сифилисом прошло от 2 до 4 месяцев, проводится двукратное клинико-серологическое обследование с интервалом в 2 месяца; если с момента контакта прошло более 4 месяцев, проводится однократное клинико-серологическое обследование.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Дерматовенерология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19 лет обратился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высыпания на коже волосистой части головы.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трех недель, когда впервые обнаружил высыпания на волосистой части головы, сопровождающиеся болевыми ощущениями. На фоне этого отметил подъем температуры и ухудшение общего самочувствия.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Пастух, проживает в сельской местности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У родителей заболеваний кожи не было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Очаг круглой формы размером до 10 см, покрытый массивными гнойно-кровянистыми корками. Кожа в очаге резко гиперемирована. При нажатии на очаг из отверстий волосяных фолликулов выделяется гной. Волосы в очаге расшатаны и легко удаляются. Вокруг очага наблюдаются единичные отсевы.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необходимо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биопсии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йодной пробы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исследования на акантолитические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микроскопического исследования на грибы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микроскопического исследования на грибы</w:t>
      </w:r>
    </w:p>
    <w:p>
      <w:pPr>
        <w:ind w:left="504"/>
      </w:pPr>
      <w:r>
        <w:rPr>
          <w:b w:val="0"/>
          <w:i/>
        </w:rPr>
        <w:t>Для постановки диагноза трихофитии рекомендуется основываться на данных клинической картины и результатах лабораторных исследований: микроскопического исследования на грибы (не менее 4 раз), культурального исследования для идентификации вида возбудителя.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2.3 Лабораторная диагностика.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Микроскопическое исследование на грибы</w:t>
      </w:r>
    </w:p>
    <w:p>
      <w:pPr>
        <w:spacing w:after="58"/>
      </w:pPr>
      <w:r>
        <w:rPr>
          <w:b w:val="0"/>
          <w:i w:val="0"/>
        </w:rPr>
        <w:t>Извитые нити септированного мицелия, волос заполнен крупными спорами гриба</w:t>
      </w:r>
    </w:p>
    <w:p>
      <w:pPr>
        <w:pStyle w:val="Heading3"/>
      </w:pPr>
      <w:r>
        <w:t>3.3. Биопсия</w:t>
      </w:r>
    </w:p>
    <w:p>
      <w:pPr>
        <w:spacing w:after="58"/>
      </w:pPr>
      <w:r>
        <w:rPr>
          <w:b w:val="0"/>
          <w:i w:val="0"/>
        </w:rPr>
        <w:t>Специфических изменений не обнаружено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вероятным диагнозом в данной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Руброфития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Подрывающий фолликулит Гоффмана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Трихофития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Фурункул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Трихофития</w:t>
      </w:r>
    </w:p>
    <w:p>
      <w:pPr>
        <w:ind w:left="504"/>
      </w:pPr>
      <w:r>
        <w:rPr>
          <w:b w:val="0"/>
          <w:i/>
        </w:rPr>
        <w:t>Зооантропонозной трихофитией чаще болеют сельские жители.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1.3 Эпидемиология.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Инфильтративно-­нагноительную (зооантропонозную), обусловленную зоофильными грибами (Trichophyton mentagrophytesvar, gypseum и Trichophyton verrucosum), паразитирующими на животных. Зоофильные трихофитоны отличаются преимущественным расположением вокруг волоса и в эпителии внутреннего волосянного влагалища. Вызываемое ими поражение кожи – инфильтративно-нагноительная (глубокая) трихофития – характеризуется образованием перифолликулярного воспалительного инфильтрата, приводящего к гнойному расплавлению волосяных фолликулов и окружающей соединительной ткани.</w:t>
        <w:br/>
        <w:br/>
        <w:t>1.2 Этиология и патогенез.</w:t>
        <w:br/>
        <w:br/>
      </w:r>
      <w:hyperlink r:id="rId37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Для постановки диагноза трихофитии рекомендуется основываться на данных клинической картины и результатах лабораторных исследований: микроскопического исследования на грибы (не менее 4 раз), культурального исследования для идентификации вида возбудителя.</w:t>
        <w:br/>
        <w:br/>
        <w:t>Раздел 2.3 Лабораторная диагностика.</w:t>
        <w:br/>
        <w:br/>
      </w:r>
      <w:hyperlink r:id="rId35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Трихофития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постановки диагноза микроскопическое исследование на грибы должно быть не менее +_____+  раз с результатом «положительно»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Для постановки диагноза трихофитии рекомендуется основываться на данных клинической картины и результатах лабораторных исследований: микроскопического исследования на грибы (не менее 4 раз), культурального исследования для идентификации вида возбудителя.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2.3 Лабораторная диагностика.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Инфильтративно-нагноительную трихофитию вызывает вид рода _Trichophyton_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_schonleinii_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_rubrum_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_canis_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_verrucosum_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_verrucosum_</w:t>
      </w:r>
    </w:p>
    <w:p>
      <w:pPr>
        <w:ind w:left="504"/>
      </w:pPr>
      <w:r>
        <w:rPr>
          <w:b w:val="0"/>
          <w:i/>
        </w:rPr>
        <w:t>Trichophyton – род паразитических грибков, вызывающих у человека поверхностную трихофитию (Т. tonsurans, Т. violaceum. T. equinum), инфильтративно-нагноительную трихофитию (Т. mentagrophytes var. granulosum, T. verrucosum), фавус (Т. schonleinii), руброфитию (Т. rubrum), эпидермофитию стоп (Т. mentagrophytes var. interdigitale) и черепицеобразный лишай (Т. concentricum).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Термины и определения.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качестве терапии больному можно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нистатин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вориконазол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флуконазол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гризеофульвин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гризеофульвин</w:t>
      </w:r>
    </w:p>
    <w:p>
      <w:pPr>
        <w:ind w:left="504"/>
      </w:pPr>
      <w:r>
        <w:rPr>
          <w:b w:val="0"/>
          <w:i/>
        </w:rPr>
        <w:t>Гризеофульвин перорально с чайной ложкой растительного масла 12,5 мг на кг массы тела в сутки в 3 приема (не более 1,0 г в сутки) ежедневно до второго отрицательного микроскопического исследования на наличие грибов (обычно 3-4 недели), затем через день в течение 2 недель, далее 2 недели 1 раз в 3 дня.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3.1 Консервативное лечение.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Гризеофульвин назначают в дозировке +_____+ мг/кг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12,5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12,5</w:t>
      </w:r>
    </w:p>
    <w:p>
      <w:pPr>
        <w:ind w:left="504"/>
      </w:pPr>
      <w:r>
        <w:rPr>
          <w:b w:val="0"/>
          <w:i/>
        </w:rPr>
        <w:t>Гризеофульвин перорально с чайной ложкой растительного масла 12,5 мг на кг массы тела в сутки в 3 приема (не более 1,0 г в сутки) ежедневно до второго отрицательного микроскопического исследования на наличие грибов (обычно 3-4 недели), затем через день в течение 2 недель, далее 2 недели 1 раз в 3 дня.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3.1 Консервативное лечение.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лучшего усваивания гризеофульвин принимают вместе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кусочком сахара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грейпфрутовым соком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молоком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растительным маслом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растительным маслом</w:t>
      </w:r>
    </w:p>
    <w:p>
      <w:pPr>
        <w:ind w:left="504"/>
      </w:pPr>
      <w:r>
        <w:rPr>
          <w:b w:val="0"/>
          <w:i/>
        </w:rPr>
        <w:t>Гризеофульвин перорально с чайной ложкой растительного масла 12,5 мг на кг массы тела в сутки в 3 приема (не более 1,0 г в сутки) ежедневно до второго отрицательного микроскопического исследования на наличие грибов (обычно 3-4 недели), затем через день в течение 2 недель, далее 2 недели 1 раз в 3 дня.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3.1 Консервативное лечение.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ускорения рассасывания очага на голове можно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гентамициновую мазь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мазь с бетаметазоном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фукорцин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примочки с ихтиолом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примочки с ихтиолом</w:t>
      </w:r>
    </w:p>
    <w:p>
      <w:pPr>
        <w:ind w:left="504"/>
      </w:pPr>
      <w:r>
        <w:rPr>
          <w:b w:val="0"/>
          <w:i/>
        </w:rPr>
        <w:t>Для лечения инфильтративно-­нагноительной формы изначально рекомендуется применять наружно антисептики и противовоспалительные лекарственные средства (в виде примочек и мазей): ихтиол, мазь 10% 2–3 раза в сутки в течение 2-3 дней.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3.1 Консервативное лечение.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Чтобы лечение считалось оконченным необходимо _____ отрицательных (-ого) анализов (-а)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Лечение считается законченным при трех отрицательных результатах исследования, проводимого с интервалами 5-7 дней.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3.1 Консервативное лечение.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4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Во время лечения необходимо ограничить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инсоляцию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водные процедуры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физические нагрузки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потребление углеводов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водные процедуры</w:t>
      </w:r>
    </w:p>
    <w:p>
      <w:pPr>
        <w:ind w:left="504"/>
      </w:pPr>
      <w:r>
        <w:rPr>
          <w:b w:val="0"/>
          <w:i/>
        </w:rPr>
        <w:t>Диссеминации способствует мытье с растиранием очагов мочалкой.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1.6 Клиническая картина.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4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Фактором риска у данного больного можно считать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возраст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семейное положение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род занятий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род занятий</w:t>
      </w:r>
    </w:p>
    <w:p>
      <w:pPr>
        <w:ind w:left="504"/>
      </w:pPr>
      <w:r>
        <w:rPr>
          <w:b w:val="0"/>
          <w:i/>
        </w:rPr>
        <w:t>Зооантропонозной трихофитией чаще болеют сельские жители.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1.3 Эпидемиология.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трихофитии волосы обломаны на расстоянии +_____+ мм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1-2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5-6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7-8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</w:t>
      </w:r>
    </w:p>
    <w:p>
      <w:pPr>
        <w:ind w:left="504"/>
      </w:pPr>
      <w:r>
        <w:rPr>
          <w:b w:val="0"/>
          <w:i/>
        </w:rPr>
        <w:t>Здоровые волосы в очагах разрежены за счет того, что боль­ные волосы обломаны на высоте 1-2 мм над кожей.</w:t>
        <w:br/>
        <w:br/>
        <w:t>Клинические рекомендации Министерства здравоохранения Российской Федерации. Трихофития. 2016 г.</w:t>
        <w:br/>
        <w:br/>
        <w:t>Раздел 1.6 Клиническая картина.</w:t>
        <w:br/>
        <w:br/>
      </w:r>
      <w:hyperlink r:id="rId3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Трихофития. 2016 г.</w:t>
        </w:r>
      </w:hyperlink>
      <w:r>
        <w:rPr>
          <w:b w:val="0"/>
          <w:i/>
        </w:rPr>
        <w:br/>
        <w:br/>
      </w:r>
      <w:hyperlink r:id="rId4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2335_maket_30/" TargetMode="External"/><Relationship Id="rId11" Type="http://schemas.openxmlformats.org/officeDocument/2006/relationships/hyperlink" Target="https://library.mededtech.ru/rest/documents/2335_maket_30/#paragraph_k8etn9" TargetMode="External"/><Relationship Id="rId12" Type="http://schemas.openxmlformats.org/officeDocument/2006/relationships/hyperlink" Target="https://library.mededtech.ru/rest/documents/KP197_2/" TargetMode="External"/><Relationship Id="rId13" Type="http://schemas.openxmlformats.org/officeDocument/2006/relationships/hyperlink" Target="https://library.mededtech.ru/rest/documents/KP197_2/#list_item_3fv1ld" TargetMode="External"/><Relationship Id="rId14" Type="http://schemas.openxmlformats.org/officeDocument/2006/relationships/hyperlink" Target="https://library.mededtech.ru/rest/documents/KP197_2/#list_item_4dqnkh" TargetMode="External"/><Relationship Id="rId15" Type="http://schemas.openxmlformats.org/officeDocument/2006/relationships/hyperlink" Target="https://library.mededtech.ru/rest/documents/2335_maket_30/#paragraph_5pe313" TargetMode="External"/><Relationship Id="rId16" Type="http://schemas.openxmlformats.org/officeDocument/2006/relationships/hyperlink" Target="https://library.mededtech.ru/rest/documents/KP197_2/#paragraph_2lupsf" TargetMode="External"/><Relationship Id="rId17" Type="http://schemas.openxmlformats.org/officeDocument/2006/relationships/hyperlink" Target="https://library.mededtech.ru/rest/documents/KP197_2/#paragraph_094mrb" TargetMode="External"/><Relationship Id="rId18" Type="http://schemas.openxmlformats.org/officeDocument/2006/relationships/hyperlink" Target="https://library.mededtech.ru/rest/documents/2335_maket_30/#paragraph_g4u6os" TargetMode="External"/><Relationship Id="rId19" Type="http://schemas.openxmlformats.org/officeDocument/2006/relationships/hyperlink" Target="https://library.mededtech.ru/rest/documents/KP197_2/#paragraph_ji8vl5" TargetMode="External"/><Relationship Id="rId20" Type="http://schemas.openxmlformats.org/officeDocument/2006/relationships/hyperlink" Target="https://library.mededtech.ru/rest/documents/KP197_2/#paragraph_k6et4k" TargetMode="External"/><Relationship Id="rId21" Type="http://schemas.openxmlformats.org/officeDocument/2006/relationships/hyperlink" Target="https://library.mededtech.ru/rest/documents/KP197_2/#paragraph_4v72e1" TargetMode="External"/><Relationship Id="rId22" Type="http://schemas.openxmlformats.org/officeDocument/2006/relationships/hyperlink" Target="https://library.mededtech.ru/rest/documents/2335_maket_30/#list_item_pdtvok" TargetMode="External"/><Relationship Id="rId23" Type="http://schemas.openxmlformats.org/officeDocument/2006/relationships/hyperlink" Target="https://library.mededtech.ru/rest/documents/KP197_2/#paragraph_boqngr" TargetMode="External"/><Relationship Id="rId24" Type="http://schemas.openxmlformats.org/officeDocument/2006/relationships/hyperlink" Target="https://library.mededtech.ru/rest/documents/2335_maket_30/#list_item_1l394j" TargetMode="External"/><Relationship Id="rId25" Type="http://schemas.openxmlformats.org/officeDocument/2006/relationships/hyperlink" Target="https://library.mededtech.ru/rest/documents/KP197_2/#list_item_0vks6n" TargetMode="External"/><Relationship Id="rId26" Type="http://schemas.openxmlformats.org/officeDocument/2006/relationships/hyperlink" Target="https://library.mededtech.ru/rest/documents/2335_maket_30/#list_item_6dl34v" TargetMode="External"/><Relationship Id="rId27" Type="http://schemas.openxmlformats.org/officeDocument/2006/relationships/hyperlink" Target="https://library.mededtech.ru/rest/documents/KP197_2/#list_item_9ba6t9" TargetMode="External"/><Relationship Id="rId28" Type="http://schemas.openxmlformats.org/officeDocument/2006/relationships/hyperlink" Target="https://library.mededtech.ru/rest/documents/2335_maket_30/#list_item_3ugsfn" TargetMode="External"/><Relationship Id="rId29" Type="http://schemas.openxmlformats.org/officeDocument/2006/relationships/hyperlink" Target="https://library.mededtech.ru/rest/documents/KP197_2/#paragraph_3add83" TargetMode="External"/><Relationship Id="rId30" Type="http://schemas.openxmlformats.org/officeDocument/2006/relationships/hyperlink" Target="https://library.mededtech.ru/rest/documents/2335_maket_30/#paragraph_i56694" TargetMode="External"/><Relationship Id="rId31" Type="http://schemas.openxmlformats.org/officeDocument/2006/relationships/hyperlink" Target="https://library.mededtech.ru/rest/documents/KP197_2/#list_item_v9fc91" TargetMode="External"/><Relationship Id="rId32" Type="http://schemas.openxmlformats.org/officeDocument/2006/relationships/hyperlink" Target="https://library.mededtech.ru/rest/documents/2335_maket_30/#paragraph_3mrosb" TargetMode="External"/><Relationship Id="rId33" Type="http://schemas.openxmlformats.org/officeDocument/2006/relationships/hyperlink" Target="https://library.mededtech.ru/rest/documents/KP197_2/#list_item_mi1je6" TargetMode="External"/><Relationship Id="rId34" Type="http://schemas.openxmlformats.org/officeDocument/2006/relationships/hyperlink" Target="https://library.mededtech.ru/rest/documents/cr_873" TargetMode="External"/><Relationship Id="rId35" Type="http://schemas.openxmlformats.org/officeDocument/2006/relationships/hyperlink" Target="https://library.mededtech.ru/rest/documents/cr_873/#list_item_m6fr4" TargetMode="External"/><Relationship Id="rId36" Type="http://schemas.openxmlformats.org/officeDocument/2006/relationships/hyperlink" Target="https://library.mededtech.ru/rest/documents/cr_873/#paragraph_5monc" TargetMode="External"/><Relationship Id="rId37" Type="http://schemas.openxmlformats.org/officeDocument/2006/relationships/hyperlink" Target="https://library.mededtech.ru/rest/documents/cr_873/#paragraph_d1fqf" TargetMode="External"/><Relationship Id="rId38" Type="http://schemas.openxmlformats.org/officeDocument/2006/relationships/hyperlink" Target="https://library.mededtech.ru/rest/documents/cr_873/#paragraph_i1st2" TargetMode="External"/><Relationship Id="rId39" Type="http://schemas.openxmlformats.org/officeDocument/2006/relationships/hyperlink" Target="https://library.mededtech.ru/rest/documents/cr_873/#list_item_ua1st" TargetMode="External"/><Relationship Id="rId40" Type="http://schemas.openxmlformats.org/officeDocument/2006/relationships/hyperlink" Target="https://library.mededtech.ru/rest/documents/cr_873/#paragraph_110ot" TargetMode="External"/><Relationship Id="rId41" Type="http://schemas.openxmlformats.org/officeDocument/2006/relationships/hyperlink" Target="https://library.mededtech.ru/rest/documents/cr_873/#paragraph_43j23" TargetMode="External"/><Relationship Id="rId42" Type="http://schemas.openxmlformats.org/officeDocument/2006/relationships/hyperlink" Target="https://library.mededtech.ru/rest/documents/cr_873/#paragraph_t5vrf" TargetMode="External"/><Relationship Id="rId43" Type="http://schemas.openxmlformats.org/officeDocument/2006/relationships/hyperlink" Target="https://library.mededtech.ru/rest/documents/cr_873/#paragraph_fq9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